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5E" w:rsidRDefault="0081155E" w:rsidP="008115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81155E" w:rsidRDefault="0081155E" w:rsidP="0081155E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1155E" w:rsidRDefault="0081155E" w:rsidP="0081155E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81155E" w:rsidRDefault="0081155E" w:rsidP="0081155E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81155E" w:rsidRDefault="0081155E" w:rsidP="0081155E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216D2D" w:rsidRDefault="00923DE4" w:rsidP="0081155E">
            <w:pPr>
              <w:spacing w:before="60" w:after="60"/>
              <w:rPr>
                <w:b/>
              </w:rPr>
            </w:pPr>
            <w:r w:rsidRPr="00216D2D">
              <w:rPr>
                <w:b/>
              </w:rPr>
              <w:t xml:space="preserve">Projekty i fundusze UE </w:t>
            </w:r>
            <w:r w:rsidR="00216D2D" w:rsidRPr="00216D2D">
              <w:rPr>
                <w:b/>
              </w:rPr>
              <w:t xml:space="preserve"> (</w:t>
            </w:r>
            <w:r w:rsidRPr="00216D2D">
              <w:rPr>
                <w:b/>
              </w:rPr>
              <w:t>Z_</w:t>
            </w:r>
            <w:r w:rsidR="0081155E">
              <w:rPr>
                <w:b/>
              </w:rPr>
              <w:t>12C</w:t>
            </w:r>
            <w:r w:rsidR="00216D2D" w:rsidRPr="00216D2D">
              <w:rPr>
                <w:b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 w:rsidRPr="00923DE4">
              <w:t xml:space="preserve">EU </w:t>
            </w:r>
            <w:proofErr w:type="spellStart"/>
            <w:r w:rsidRPr="00923DE4">
              <w:t>Projects</w:t>
            </w:r>
            <w:proofErr w:type="spellEnd"/>
            <w:r w:rsidRPr="00923DE4">
              <w:t xml:space="preserve"> and </w:t>
            </w:r>
            <w:proofErr w:type="spellStart"/>
            <w:r w:rsidRPr="00923DE4">
              <w:t>Funds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 w:rsidRPr="00923DE4"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767186" w:rsidP="00081952">
            <w:pPr>
              <w:spacing w:before="60" w:after="60"/>
            </w:pPr>
            <w:r>
              <w:t>s</w:t>
            </w:r>
            <w:r w:rsidR="00923DE4">
              <w:t>tudia pierwszego stopnia</w:t>
            </w:r>
            <w:r w:rsidR="00216D2D">
              <w:t xml:space="preserve"> </w:t>
            </w:r>
            <w:r w:rsidR="00216D2D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767186" w:rsidP="00081952">
            <w:pPr>
              <w:spacing w:before="60" w:after="60"/>
            </w:pPr>
            <w:r>
              <w:t>p</w:t>
            </w:r>
            <w:r w:rsidR="00923DE4"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 w:rsidRPr="00923DE4">
              <w:t xml:space="preserve">studia </w:t>
            </w:r>
            <w:r w:rsidR="00767186">
              <w:t xml:space="preserve">stacjonarne </w:t>
            </w:r>
            <w:r w:rsidRPr="00923DE4">
              <w:t>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767186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923DE4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216D2D" w:rsidP="00081952">
            <w:pPr>
              <w:spacing w:before="60" w:after="60"/>
            </w:pPr>
            <w:r>
              <w:t>D</w:t>
            </w:r>
            <w:r w:rsidR="00923DE4">
              <w:t>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8"/>
        <w:gridCol w:w="1559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3D4A" w:rsidRDefault="00853D4A" w:rsidP="00853D4A">
            <w:pPr>
              <w:spacing w:before="60" w:after="60"/>
            </w:pPr>
            <w:r>
              <w:t xml:space="preserve">-wiedza oraz umiejętności niezbędne do pozyskiwania i właściwego wykorzystywania funduszy UE. </w:t>
            </w:r>
          </w:p>
          <w:p w:rsidR="00853D4A" w:rsidRDefault="00853D4A" w:rsidP="00853D4A">
            <w:pPr>
              <w:spacing w:before="60" w:after="60"/>
            </w:pPr>
            <w:r>
              <w:t xml:space="preserve"> -zdobycie i poszerzenie wiedzy nt. mechanizmów przygotowania projektów, w zakresie możliwości, zasad, form, metod, technik i praktyki ubiegania się o środki Unii Europejskiej dla realizacji projektów. </w:t>
            </w:r>
          </w:p>
          <w:p w:rsidR="00221210" w:rsidRPr="00B33361" w:rsidRDefault="00853D4A" w:rsidP="00853D4A">
            <w:pPr>
              <w:spacing w:before="60" w:after="60"/>
            </w:pPr>
            <w:r>
              <w:t>-nabycie przez studentów umiejętności kreatywnego myślenia i aktywnego poszukiwania szans rynkowych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923DE4" w:rsidRDefault="00923DE4" w:rsidP="00923DE4">
            <w:pPr>
              <w:spacing w:before="60" w:after="60"/>
            </w:pPr>
            <w:r>
              <w:t xml:space="preserve">stacjonarne - wykład 15 h, ćw. projektowe 30 h  </w:t>
            </w:r>
          </w:p>
          <w:p w:rsidR="00221210" w:rsidRPr="00B33361" w:rsidRDefault="00923DE4" w:rsidP="00923DE4">
            <w:pPr>
              <w:spacing w:before="60" w:after="60"/>
            </w:pPr>
            <w:r>
              <w:t>niestacjonarne - wykład 15 h, ćw. projektowe 30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B2B2D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0B2B2D" w:rsidRPr="00B33361" w:rsidTr="000B2B2D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_K_W01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_K_W02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 w:rsidP="0081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_K_W03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-Student posiada podstawową wiedzę z zakresu źródeł finansowania instytucji publicznych i podmiotów gospodarczych ze środków unijnych.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metodologię przygotowania projektów z dofinansowaniem ze środków unijnych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 wiedzę o podmiotach, strukturach i instytucjach wpływających na decyzje o podziale środków europejskich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K_W02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K_W01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K_W03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K_W07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K_W13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K_W14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K_W15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K_W16</w:t>
            </w: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  <w:p w:rsidR="000B2B2D" w:rsidRDefault="000B2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wykład;</w:t>
            </w:r>
          </w:p>
          <w:p w:rsidR="000B2B2D" w:rsidRDefault="000B2B2D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0B2B2D" w:rsidRDefault="000B2B2D">
            <w:pPr>
              <w:rPr>
                <w:rFonts w:cs="Calibri"/>
              </w:rPr>
            </w:pPr>
          </w:p>
          <w:p w:rsidR="000B2B2D" w:rsidRDefault="000B2B2D">
            <w:pPr>
              <w:rPr>
                <w:rFonts w:cs="Calibri"/>
              </w:rPr>
            </w:pPr>
          </w:p>
          <w:p w:rsidR="000B2B2D" w:rsidRDefault="000B2B2D">
            <w:pPr>
              <w:rPr>
                <w:rFonts w:cs="Calibri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ćwiczenia projektowe</w:t>
            </w: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0B2B2D" w:rsidRDefault="000B2B2D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Egzamin </w:t>
            </w:r>
            <w:r>
              <w:rPr>
                <w:sz w:val="20"/>
                <w:szCs w:val="20"/>
              </w:rPr>
              <w:lastRenderedPageBreak/>
              <w:t xml:space="preserve">pisemny- pytania problemowe, 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końcowa ocena zadań projektowych</w:t>
            </w: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Egzamin pisemny- pytania problemowe, </w:t>
            </w: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końcowa ocena zadań projektowych</w:t>
            </w: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Egzamin pisemny- pytania problemowe, </w:t>
            </w:r>
          </w:p>
          <w:p w:rsidR="000B2B2D" w:rsidRDefault="000B2B2D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końcowa ocena zadań projektowych</w:t>
            </w:r>
          </w:p>
        </w:tc>
      </w:tr>
      <w:tr w:rsidR="000B2B2D" w:rsidRPr="00B33361" w:rsidTr="000B2B2D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_K_U01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_K_U02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</w:t>
            </w:r>
            <w:r w:rsidR="0081155E">
              <w:rPr>
                <w:sz w:val="20"/>
                <w:szCs w:val="20"/>
              </w:rPr>
              <w:t>12C</w:t>
            </w:r>
            <w:r>
              <w:rPr>
                <w:sz w:val="20"/>
                <w:szCs w:val="20"/>
              </w:rPr>
              <w:t>_K_U03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umiejętności: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Student potrafi przeprowadzić ocenę efektywności projektów gospodarczych i publicznych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wykorzystuje zdobytą wiedzę do identyfikacji możliwości pozyskania dofinansowania w przedsiębiorstwie i jednostce sektora publicznego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potrafi przygotować prace projektowe dotyczące szczegółowych zagadnień związanych z pozyskaniem dotacji z wykorzystaniem różnych źródeł informacji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K_U05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K_U09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K_U18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K_U19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K_U07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K_U09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K_U15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671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K_U21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6718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K_U23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0B2B2D" w:rsidRDefault="000B2B2D">
            <w:pPr>
              <w:spacing w:line="276" w:lineRule="auto"/>
              <w:jc w:val="center"/>
            </w:pPr>
          </w:p>
          <w:p w:rsidR="000B2B2D" w:rsidRDefault="000B2B2D">
            <w:pPr>
              <w:spacing w:line="276" w:lineRule="auto"/>
              <w:jc w:val="center"/>
            </w:pPr>
          </w:p>
          <w:p w:rsidR="000B2B2D" w:rsidRDefault="000B2B2D">
            <w:pPr>
              <w:spacing w:line="276" w:lineRule="auto"/>
              <w:jc w:val="center"/>
            </w:pPr>
          </w:p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  <w:p w:rsidR="000B2B2D" w:rsidRDefault="000B2B2D">
            <w:pPr>
              <w:spacing w:line="276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0B2B2D" w:rsidRPr="00B33361" w:rsidTr="000B2B2D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 w:rsidP="0081155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Z_</w:t>
            </w:r>
            <w:bookmarkStart w:id="0" w:name="_GoBack"/>
            <w:bookmarkEnd w:id="0"/>
            <w:r w:rsidR="0081155E">
              <w:rPr>
                <w:sz w:val="20"/>
                <w:szCs w:val="20"/>
                <w:lang w:val="en-US"/>
              </w:rPr>
              <w:t>12C</w:t>
            </w:r>
            <w:r>
              <w:rPr>
                <w:sz w:val="20"/>
                <w:szCs w:val="20"/>
                <w:lang w:val="en-US"/>
              </w:rPr>
              <w:t>_K_K01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kompetencji społecznych:</w:t>
            </w:r>
          </w:p>
          <w:p w:rsidR="000B2B2D" w:rsidRDefault="000B2B2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-Potrafi odpowiednio określić priorytety służące wykonaniu zadania oraz kolejność jego realizacji.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B2B2D" w:rsidRDefault="000B2B2D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eastAsia="Arial,Bold"/>
                <w:sz w:val="20"/>
                <w:szCs w:val="20"/>
              </w:rPr>
              <w:t>K_K03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B2D" w:rsidRDefault="000B2B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B2B2D" w:rsidRDefault="000B2B2D">
            <w:pPr>
              <w:spacing w:line="276" w:lineRule="auto"/>
              <w:rPr>
                <w:sz w:val="20"/>
                <w:szCs w:val="20"/>
              </w:rPr>
            </w:pPr>
          </w:p>
          <w:p w:rsidR="000B2B2D" w:rsidRDefault="000B2B2D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ocena zadań projektowych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923DE4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923DE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23DE4" w:rsidRPr="009B7764" w:rsidRDefault="00923DE4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23DE4" w:rsidRPr="00D95BBC" w:rsidRDefault="00923DE4" w:rsidP="00200A97">
            <w:r w:rsidRPr="00D95BBC">
              <w:rPr>
                <w:sz w:val="22"/>
                <w:szCs w:val="22"/>
              </w:rPr>
              <w:t>Wykład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>Ćwiczenia projektowe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 xml:space="preserve">Udział w konsultacjach </w:t>
            </w:r>
          </w:p>
          <w:p w:rsidR="00923DE4" w:rsidRPr="00D95BBC" w:rsidRDefault="00923DE4" w:rsidP="00200A97">
            <w:pPr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W sumie: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>ECTS</w:t>
            </w:r>
          </w:p>
          <w:p w:rsidR="00923DE4" w:rsidRPr="00D95BBC" w:rsidRDefault="00923DE4" w:rsidP="00200A97"/>
        </w:tc>
        <w:tc>
          <w:tcPr>
            <w:tcW w:w="788" w:type="dxa"/>
            <w:gridSpan w:val="2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15</w:t>
            </w: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30</w:t>
            </w: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 xml:space="preserve">  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50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2,0</w:t>
            </w:r>
          </w:p>
          <w:p w:rsidR="00923DE4" w:rsidRPr="00767186" w:rsidRDefault="00923DE4" w:rsidP="00200A97">
            <w:pPr>
              <w:snapToGrid w:val="0"/>
            </w:pPr>
          </w:p>
        </w:tc>
        <w:tc>
          <w:tcPr>
            <w:tcW w:w="736" w:type="dxa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15</w:t>
            </w: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30</w:t>
            </w: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 xml:space="preserve">  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50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2,0</w:t>
            </w: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 xml:space="preserve"> </w:t>
            </w:r>
          </w:p>
        </w:tc>
      </w:tr>
      <w:tr w:rsidR="00923DE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23DE4" w:rsidRPr="002057B8" w:rsidRDefault="00923DE4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23DE4" w:rsidRPr="00D95BBC" w:rsidRDefault="00923DE4" w:rsidP="00200A97">
            <w:r w:rsidRPr="00D95BBC">
              <w:rPr>
                <w:sz w:val="22"/>
                <w:szCs w:val="22"/>
              </w:rPr>
              <w:t>Przygotowanie do zajęć projektowych</w:t>
            </w:r>
            <w:r w:rsidRPr="00D95BBC">
              <w:rPr>
                <w:sz w:val="22"/>
                <w:szCs w:val="22"/>
              </w:rPr>
              <w:br/>
              <w:t xml:space="preserve"> i przygotowanie projektu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>Przygotowanie do egzaminu</w:t>
            </w:r>
          </w:p>
          <w:p w:rsidR="00923DE4" w:rsidRPr="00D95BBC" w:rsidRDefault="00923DE4" w:rsidP="00200A97">
            <w:pPr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 xml:space="preserve">w sumie:  </w:t>
            </w:r>
          </w:p>
          <w:p w:rsidR="00923DE4" w:rsidRPr="00D95BBC" w:rsidRDefault="00767186" w:rsidP="00200A97">
            <w:r>
              <w:rPr>
                <w:sz w:val="22"/>
                <w:szCs w:val="22"/>
              </w:rPr>
              <w:t>ECT</w:t>
            </w:r>
            <w:r w:rsidR="00923DE4" w:rsidRPr="00D95BBC">
              <w:rPr>
                <w:sz w:val="22"/>
                <w:szCs w:val="22"/>
              </w:rPr>
              <w:t>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</w:pP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50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</w:pP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50</w:t>
            </w:r>
          </w:p>
          <w:p w:rsidR="00923DE4" w:rsidRPr="00767186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2,0</w:t>
            </w:r>
          </w:p>
        </w:tc>
      </w:tr>
      <w:tr w:rsidR="00923DE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23DE4" w:rsidRPr="002057B8" w:rsidRDefault="00923DE4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23DE4" w:rsidRPr="00D95BBC" w:rsidRDefault="00923DE4" w:rsidP="00200A97">
            <w:r w:rsidRPr="00D95BBC">
              <w:rPr>
                <w:sz w:val="22"/>
                <w:szCs w:val="22"/>
              </w:rPr>
              <w:t>Ćwiczenia projektowe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>Przygotowanie do zajęć projektowych</w:t>
            </w:r>
            <w:r w:rsidRPr="00D95BBC">
              <w:rPr>
                <w:sz w:val="22"/>
                <w:szCs w:val="22"/>
              </w:rPr>
              <w:br/>
              <w:t xml:space="preserve"> i przygotowanie projektu</w:t>
            </w:r>
          </w:p>
          <w:p w:rsidR="00923DE4" w:rsidRPr="00D95BBC" w:rsidRDefault="00923DE4" w:rsidP="00200A97"/>
          <w:p w:rsidR="00923DE4" w:rsidRPr="00D95BBC" w:rsidRDefault="00923DE4" w:rsidP="00200A97">
            <w:pPr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 xml:space="preserve">w sumie:  </w:t>
            </w:r>
          </w:p>
          <w:p w:rsidR="00923DE4" w:rsidRPr="00D95BBC" w:rsidRDefault="00923DE4" w:rsidP="00200A97">
            <w:r w:rsidRPr="00D95BBC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30</w:t>
            </w:r>
          </w:p>
          <w:p w:rsidR="00923DE4" w:rsidRPr="00D95BBC" w:rsidRDefault="00923DE4" w:rsidP="00200A97">
            <w:pPr>
              <w:snapToGrid w:val="0"/>
            </w:pP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55</w:t>
            </w:r>
          </w:p>
          <w:p w:rsidR="00923DE4" w:rsidRPr="00767186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736" w:type="dxa"/>
            <w:tcBorders>
              <w:left w:val="nil"/>
            </w:tcBorders>
          </w:tcPr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30</w:t>
            </w:r>
          </w:p>
          <w:p w:rsidR="00923DE4" w:rsidRPr="00D95BBC" w:rsidRDefault="00923DE4" w:rsidP="00200A97">
            <w:pPr>
              <w:snapToGrid w:val="0"/>
            </w:pPr>
          </w:p>
          <w:p w:rsidR="00923DE4" w:rsidRPr="00D95BBC" w:rsidRDefault="00923DE4" w:rsidP="00200A97">
            <w:pPr>
              <w:snapToGrid w:val="0"/>
            </w:pPr>
            <w:r w:rsidRPr="00D95BBC">
              <w:rPr>
                <w:sz w:val="22"/>
                <w:szCs w:val="22"/>
              </w:rPr>
              <w:t>25</w:t>
            </w: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</w:p>
          <w:p w:rsidR="00923DE4" w:rsidRPr="00D95BBC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55</w:t>
            </w:r>
          </w:p>
          <w:p w:rsidR="00923DE4" w:rsidRPr="00767186" w:rsidRDefault="00923DE4" w:rsidP="00200A97">
            <w:pPr>
              <w:snapToGrid w:val="0"/>
              <w:rPr>
                <w:b/>
              </w:rPr>
            </w:pPr>
            <w:r w:rsidRPr="00D95BBC">
              <w:rPr>
                <w:b/>
                <w:sz w:val="22"/>
                <w:szCs w:val="22"/>
              </w:rPr>
              <w:t>2,2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E4" w:rsidRPr="00923DE4" w:rsidRDefault="00923DE4" w:rsidP="00923DE4">
            <w:pPr>
              <w:autoSpaceDE w:val="0"/>
              <w:autoSpaceDN w:val="0"/>
              <w:adjustRightInd w:val="0"/>
              <w:rPr>
                <w:b/>
              </w:rPr>
            </w:pPr>
            <w:r w:rsidRPr="00923DE4">
              <w:rPr>
                <w:b/>
              </w:rPr>
              <w:t>Wykłady: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Charakterystyka funduszy strukturalnych Unii Europejskiej. Wykorzystanie pomocy z funduszy strukturalnych w Polsce w latach 2004- 2006 oraz w latach 2007- 2013. Charakterystyka bieżącej perspektywy finansowej 2014-2020.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Dokumenty programowe warunkujące wykorzystanie funduszy strukturalnych w Polsce w latach 2014- 2020. Prawne i organizacyjne aspekty zarządzania projektami unijnymi.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Projekty miękkie i twarde oraz fundusze je finansujące. Cele, problemy, założenia i zagrożenia w projekcie. Wskaźniki w projekcie. Przykładowe projekty finansowane z funduszy UE.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Najczęściej popełniane błędy w procesie aplikowania o fundusze unijne. Tryby naboru wniosków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Wydatki kwalifikowane w projekcie-  sposoby obliczania i weryfikacji. Warunki wstępne sukcesu projektu. 6 Formularz wniosku. Instrukcja wypełniania wniosku. Załączniki do wniosku- biznes plan i studium wykonalności. Obsługa aplikacji generator wniosków (SOWA).</w:t>
            </w:r>
          </w:p>
          <w:p w:rsidR="00767186" w:rsidRDefault="00767186" w:rsidP="00923DE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23DE4" w:rsidRPr="00923DE4" w:rsidRDefault="00923DE4" w:rsidP="00923DE4">
            <w:pPr>
              <w:autoSpaceDE w:val="0"/>
              <w:autoSpaceDN w:val="0"/>
              <w:adjustRightInd w:val="0"/>
              <w:rPr>
                <w:b/>
              </w:rPr>
            </w:pPr>
            <w:r w:rsidRPr="00923DE4">
              <w:rPr>
                <w:b/>
              </w:rPr>
              <w:t>Ćwiczenia projektowe: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Fundusze europejskie - perspektywa finansowa 2014-2020.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Regionalny Program Operacyjny - środki dla Podkarpacia na lata 2014/2020.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Program Operacyjny dla województw Polski Wschodniej.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Program Rozwoju Obszarów Wiejskich.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Program Operacyjny Inteligentny Rozwój/projekt inwestycyjny.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PO WER 2014/20 - Kształcenie i rozwój kompetencji.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lastRenderedPageBreak/>
              <w:t xml:space="preserve">Współpraca nauki z biznesem - dobre praktyki.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Projekty </w:t>
            </w:r>
            <w:proofErr w:type="spellStart"/>
            <w:r w:rsidRPr="00923DE4">
              <w:t>nieinwestycyjne</w:t>
            </w:r>
            <w:proofErr w:type="spellEnd"/>
            <w:r w:rsidRPr="00923DE4">
              <w:t xml:space="preserve"> - raport nr 2.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>Wybrane Programy Operacyjne 2014-2020 – podsumowanie.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Budżet w projektach </w:t>
            </w:r>
            <w:proofErr w:type="spellStart"/>
            <w:r w:rsidRPr="00923DE4">
              <w:t>nieinwestycyjnych</w:t>
            </w:r>
            <w:proofErr w:type="spellEnd"/>
            <w:r w:rsidRPr="00923DE4">
              <w:t xml:space="preserve">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Harmonogram, wskaźniki, cele i oddziaływania - projekty </w:t>
            </w:r>
            <w:proofErr w:type="spellStart"/>
            <w:r w:rsidRPr="00923DE4">
              <w:t>nieinwestycyjne</w:t>
            </w:r>
            <w:proofErr w:type="spellEnd"/>
            <w:r w:rsidRPr="00923DE4">
              <w:t xml:space="preserve">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Projekty międzynarodowe - wspólna realizacja działań. </w:t>
            </w:r>
          </w:p>
          <w:p w:rsidR="00923DE4" w:rsidRPr="00923DE4" w:rsidRDefault="00923DE4" w:rsidP="00923DE4">
            <w:pPr>
              <w:autoSpaceDE w:val="0"/>
              <w:autoSpaceDN w:val="0"/>
              <w:adjustRightInd w:val="0"/>
            </w:pPr>
            <w:r w:rsidRPr="00923DE4">
              <w:t xml:space="preserve">Polska Cyfrowa, Pomoc Techniczna - realizacja zadań, zastosowanie przepisów PZP, PO Infrastruktura i środowisko, monitoring i ewaluacja projektów, wniosek o płatność - rozliczanie projektów. </w:t>
            </w:r>
          </w:p>
          <w:p w:rsidR="00221210" w:rsidRPr="00B33361" w:rsidRDefault="00923DE4" w:rsidP="00923DE4">
            <w:pPr>
              <w:autoSpaceDE w:val="0"/>
              <w:autoSpaceDN w:val="0"/>
              <w:adjustRightInd w:val="0"/>
            </w:pPr>
            <w:r w:rsidRPr="00923DE4">
              <w:t>Podsumowanie materiału z zakresu programów operacyjnych dla perspektywy finansowej 2014-2020- prezentacje ustne.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23DE4" w:rsidRPr="00923DE4" w:rsidRDefault="00923DE4" w:rsidP="00923DE4">
            <w:r w:rsidRPr="00923DE4">
              <w:t>wykład informacyjny z prezentacją multimedialną,</w:t>
            </w:r>
          </w:p>
          <w:p w:rsidR="00923DE4" w:rsidRPr="00923DE4" w:rsidRDefault="00923DE4" w:rsidP="00923DE4">
            <w:r w:rsidRPr="00923DE4">
              <w:t>studium przypadku, dyskusja</w:t>
            </w:r>
          </w:p>
          <w:p w:rsidR="00221210" w:rsidRPr="00B33361" w:rsidRDefault="00923DE4" w:rsidP="00923DE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923DE4">
              <w:rPr>
                <w:rFonts w:ascii="Times New Roman" w:hAnsi="Times New Roman"/>
              </w:rPr>
              <w:t>ćwiczenia praktyczne (projektowe)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23DE4" w:rsidRDefault="00923DE4" w:rsidP="00923DE4">
            <w:r>
              <w:t>Egzamin pisemny- 50 %</w:t>
            </w:r>
          </w:p>
          <w:p w:rsidR="00221210" w:rsidRPr="00B33361" w:rsidRDefault="00923DE4" w:rsidP="00923DE4">
            <w:r>
              <w:t>ocena końcowa z wykonania zadań projektowych- 50 %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923DE4" w:rsidP="00923DE4">
            <w:r>
              <w:t>Wiedza z zakresu podstaw zarządzania, zarządzania projektami, rachunkowości finansowej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8769F2" w:rsidRDefault="008769F2" w:rsidP="00767186">
            <w:proofErr w:type="spellStart"/>
            <w:r>
              <w:t>Gwizda</w:t>
            </w:r>
            <w:proofErr w:type="spellEnd"/>
            <w:r>
              <w:t xml:space="preserve"> M., Kosewska-Kwaśny M., Żółciński S. (red.), Fundusze UE 2014-2020. Nowa perspektywa- nowe możl</w:t>
            </w:r>
            <w:r w:rsidR="00767186">
              <w:t>iwości, CH. Beck, Warszawa 2014</w:t>
            </w:r>
          </w:p>
          <w:p w:rsidR="008769F2" w:rsidRDefault="008769F2" w:rsidP="00767186">
            <w:r>
              <w:t xml:space="preserve">Sikora-Gaca M., Kosowska U., Fundusze europejskie w teorii i praktyce, </w:t>
            </w:r>
            <w:proofErr w:type="spellStart"/>
            <w:r>
              <w:t>Difin</w:t>
            </w:r>
            <w:proofErr w:type="spellEnd"/>
            <w:r>
              <w:t>, Warszawa 2014</w:t>
            </w:r>
          </w:p>
          <w:p w:rsidR="008769F2" w:rsidRDefault="008769F2" w:rsidP="00767186">
            <w:proofErr w:type="spellStart"/>
            <w:r>
              <w:t>Krasuska</w:t>
            </w:r>
            <w:proofErr w:type="spellEnd"/>
            <w:r>
              <w:t xml:space="preserve"> M., Fundusze unijne w nowej perspektywie, Oficyna Prawa Polskiego, Warszawa 2014</w:t>
            </w:r>
            <w:r>
              <w:tab/>
            </w:r>
          </w:p>
          <w:p w:rsidR="008769F2" w:rsidRDefault="008769F2" w:rsidP="00767186">
            <w:r>
              <w:t>Skrzypek J., Zasady konstrukcji studium wykonalności lub biznesplanu dla projektów współfinansowanych ze środ</w:t>
            </w:r>
            <w:r w:rsidR="00767186">
              <w:t xml:space="preserve">ków UE, </w:t>
            </w:r>
            <w:proofErr w:type="spellStart"/>
            <w:r w:rsidR="00767186">
              <w:t>Twigger</w:t>
            </w:r>
            <w:proofErr w:type="spellEnd"/>
            <w:r w:rsidR="00767186">
              <w:t>, Warszawa 2007</w:t>
            </w:r>
          </w:p>
          <w:p w:rsidR="008769F2" w:rsidRDefault="008769F2" w:rsidP="00767186">
            <w:r>
              <w:t>Kozłowski W., Zarządzanie gminnymi inwestycjami infrastruk</w:t>
            </w:r>
            <w:r w:rsidR="00767186">
              <w:t xml:space="preserve">turalnymi, </w:t>
            </w:r>
            <w:proofErr w:type="spellStart"/>
            <w:r w:rsidR="00767186">
              <w:t>Difin</w:t>
            </w:r>
            <w:proofErr w:type="spellEnd"/>
            <w:r w:rsidR="00767186">
              <w:t>, Warszawa 2012</w:t>
            </w:r>
          </w:p>
          <w:p w:rsidR="008769F2" w:rsidRDefault="008769F2" w:rsidP="00767186">
            <w:r>
              <w:lastRenderedPageBreak/>
              <w:t>3.Ekstowicz B., Polityka strukturalna Unii Europejskiej stymulatorem procesów modernizacji i rozwoju społeczno-ekonomicznego Polski w latach 2007-2015, Wyd. Adam Marszałek, Toruń 2010.</w:t>
            </w:r>
          </w:p>
          <w:p w:rsidR="00221210" w:rsidRPr="00B33361" w:rsidRDefault="008769F2" w:rsidP="00767186">
            <w:r>
              <w:t>Ze względu na specyfikę przedmiotu Studenci powinni przede wszystkim zapoznać się z Programami Operacyjnymi na lata 2014- 2020- dostępnymi na stronie: http://www.funduszeeuropejskie.gov.pl, jak również: www.wzp.pl, www.roefs.pl, www.minrol.gov.pl, www.parp.gov.pl, www.wup.pl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B2B2D"/>
    <w:rsid w:val="00216D2D"/>
    <w:rsid w:val="00221210"/>
    <w:rsid w:val="00467D91"/>
    <w:rsid w:val="00587934"/>
    <w:rsid w:val="005B650D"/>
    <w:rsid w:val="00601C2E"/>
    <w:rsid w:val="00767186"/>
    <w:rsid w:val="0081155E"/>
    <w:rsid w:val="00850BAB"/>
    <w:rsid w:val="00853D4A"/>
    <w:rsid w:val="008769F2"/>
    <w:rsid w:val="00923DE4"/>
    <w:rsid w:val="00965D0D"/>
    <w:rsid w:val="00A75CAC"/>
    <w:rsid w:val="00C639C2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B2B2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B2B2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2019-08-12T15:49:00Z</dcterms:created>
  <dcterms:modified xsi:type="dcterms:W3CDTF">2019-08-12T15:49:00Z</dcterms:modified>
</cp:coreProperties>
</file>